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E60795A" w14:textId="22909D96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745ABEE4" wp14:editId="227AE30B">
            <wp:extent cx="5267835" cy="3643435"/>
            <wp:effectExtent l="0" t="0" r="0" b="0"/>
            <wp:docPr id="140883211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770" b="49393"/>
                    <a:stretch/>
                  </pic:blipFill>
                  <pic:spPr bwMode="auto">
                    <a:xfrm>
                      <a:off x="0" y="0"/>
                      <a:ext cx="5268595" cy="36439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569E9B9" w14:textId="22FF6262" w:rsidR="000C6BE5" w:rsidRPr="00050B3C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>Figure S1.</w:t>
      </w:r>
      <w:r w:rsidRPr="00050B3C">
        <w:rPr>
          <w:rFonts w:ascii="Times New Roman" w:hAnsi="Times New Roman" w:cs="Times New Roman"/>
          <w:szCs w:val="21"/>
        </w:rPr>
        <w:t xml:space="preserve"> Relationship between GPX4 expression levels and tumor grade</w:t>
      </w:r>
      <w:r>
        <w:rPr>
          <w:rFonts w:ascii="Times New Roman" w:hAnsi="Times New Roman" w:cs="Times New Roman"/>
          <w:szCs w:val="21"/>
        </w:rPr>
        <w:t xml:space="preserve"> in different tumor types</w:t>
      </w:r>
      <w:r w:rsidRPr="00050B3C">
        <w:rPr>
          <w:rFonts w:ascii="Times New Roman" w:hAnsi="Times New Roman" w:cs="Times New Roman"/>
          <w:szCs w:val="21"/>
        </w:rPr>
        <w:t xml:space="preserve"> analyzed by TISIDB.</w:t>
      </w:r>
    </w:p>
    <w:p w14:paraId="0E8C7E37" w14:textId="3B4F2D1D" w:rsidR="000C6BE5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</w:p>
    <w:p w14:paraId="6782841B" w14:textId="77777777" w:rsidR="000C6BE5" w:rsidRDefault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29DA6B32" w14:textId="0ABBE79F" w:rsidR="000C6BE5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lastRenderedPageBreak/>
        <w:drawing>
          <wp:inline distT="0" distB="0" distL="0" distR="0" wp14:anchorId="0C82F9D2" wp14:editId="729D7DC7">
            <wp:extent cx="5267628" cy="3073204"/>
            <wp:effectExtent l="0" t="0" r="0" b="0"/>
            <wp:docPr id="64847250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604" b="57172"/>
                    <a:stretch/>
                  </pic:blipFill>
                  <pic:spPr bwMode="auto">
                    <a:xfrm>
                      <a:off x="0" y="0"/>
                      <a:ext cx="5268595" cy="30737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D2BDD3" w14:textId="77777777" w:rsidR="00315115" w:rsidRDefault="00315115" w:rsidP="00315115">
      <w:pPr>
        <w:spacing w:line="480" w:lineRule="auto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 xml:space="preserve">Figure S2. </w:t>
      </w:r>
      <w:r w:rsidRPr="00050B3C">
        <w:rPr>
          <w:rFonts w:ascii="Times New Roman" w:hAnsi="Times New Roman" w:cs="Times New Roman"/>
          <w:szCs w:val="21"/>
        </w:rPr>
        <w:t>Associations between GPX4 expression and molecular subtypes across human cancers.</w:t>
      </w:r>
    </w:p>
    <w:p w14:paraId="69255EC6" w14:textId="668B6270" w:rsidR="000C6BE5" w:rsidRDefault="000C6BE5" w:rsidP="00315115">
      <w:pPr>
        <w:spacing w:line="480" w:lineRule="auto"/>
        <w:rPr>
          <w:rFonts w:ascii="Times New Roman" w:hAnsi="Times New Roman" w:cs="Times New Roman"/>
          <w:szCs w:val="21"/>
        </w:rPr>
      </w:pPr>
    </w:p>
    <w:p w14:paraId="0C4C4AB1" w14:textId="77777777" w:rsidR="000C6BE5" w:rsidRDefault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1450459D" w14:textId="06E209DF" w:rsidR="000C6BE5" w:rsidRDefault="000C6BE5" w:rsidP="00315115">
      <w:pPr>
        <w:spacing w:line="48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64343C7C" wp14:editId="6B2BB595">
            <wp:extent cx="5268595" cy="7617460"/>
            <wp:effectExtent l="0" t="0" r="8255" b="2540"/>
            <wp:docPr id="2570509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61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92A2F" w14:textId="1314D50B" w:rsidR="000C6BE5" w:rsidRDefault="00315115" w:rsidP="00315115">
      <w:pPr>
        <w:spacing w:line="480" w:lineRule="auto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 xml:space="preserve">Figure S3. </w:t>
      </w:r>
      <w:r w:rsidRPr="00050B3C">
        <w:rPr>
          <w:rFonts w:ascii="Times New Roman" w:hAnsi="Times New Roman" w:cs="Times New Roman"/>
          <w:szCs w:val="21"/>
        </w:rPr>
        <w:t xml:space="preserve">Roles of GPX4 alteration in the patients’ prognosis in various cancers. </w:t>
      </w:r>
    </w:p>
    <w:p w14:paraId="213DD2C0" w14:textId="77777777" w:rsidR="000C6BE5" w:rsidRDefault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0E41F306" w14:textId="08468A26" w:rsidR="000C6BE5" w:rsidRDefault="000C6BE5" w:rsidP="00315115">
      <w:pPr>
        <w:spacing w:line="48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3BD6F905" wp14:editId="5B5FE0F9">
            <wp:extent cx="5275580" cy="7539990"/>
            <wp:effectExtent l="0" t="0" r="1270" b="3810"/>
            <wp:docPr id="24881891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753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642173" w14:textId="08479FCC" w:rsidR="00315115" w:rsidRPr="00050B3C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F</w:t>
      </w:r>
      <w:r w:rsidR="00315115" w:rsidRPr="00050B3C">
        <w:rPr>
          <w:rFonts w:ascii="Times New Roman" w:hAnsi="Times New Roman" w:cs="Times New Roman"/>
          <w:b/>
          <w:bCs/>
          <w:szCs w:val="21"/>
        </w:rPr>
        <w:t>igure S4</w:t>
      </w:r>
      <w:r w:rsidR="00315115" w:rsidRPr="00050B3C">
        <w:rPr>
          <w:rFonts w:ascii="Times New Roman" w:hAnsi="Times New Roman" w:cs="Times New Roman"/>
          <w:szCs w:val="21"/>
        </w:rPr>
        <w:t xml:space="preserve">. The methylation levels of GPX4 in cancers. Cancers with significant (A) and not significant (B) difference of methylation levels of GPX4 between cancer and normal tissue. </w:t>
      </w:r>
    </w:p>
    <w:p w14:paraId="693962D5" w14:textId="77777777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</w:p>
    <w:p w14:paraId="3C6891B3" w14:textId="77777777" w:rsidR="000C6BE5" w:rsidRDefault="000C6BE5">
      <w:pPr>
        <w:widowControl/>
        <w:jc w:val="left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br w:type="page"/>
      </w:r>
    </w:p>
    <w:p w14:paraId="2E2F1556" w14:textId="49EAF59D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37544D70" wp14:editId="1A464BBF">
            <wp:extent cx="5275182" cy="3924886"/>
            <wp:effectExtent l="0" t="0" r="1905" b="0"/>
            <wp:docPr id="138389267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942"/>
                    <a:stretch/>
                  </pic:blipFill>
                  <pic:spPr bwMode="auto">
                    <a:xfrm>
                      <a:off x="0" y="0"/>
                      <a:ext cx="5275580" cy="39251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963DA1E" w14:textId="403D4C04" w:rsidR="00315115" w:rsidRDefault="00315115" w:rsidP="000C6BE5">
      <w:pPr>
        <w:widowControl/>
        <w:jc w:val="left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>Figure S5.</w:t>
      </w:r>
      <w:r w:rsidRPr="00050B3C">
        <w:rPr>
          <w:rFonts w:ascii="Times New Roman" w:hAnsi="Times New Roman" w:cs="Times New Roman"/>
          <w:szCs w:val="21"/>
        </w:rPr>
        <w:t xml:space="preserve"> The TIMER2.0 database depicted the relationship between GPX4 expression and immune infiltration of B cell macrophage (A), Treg (B) and T cell CD8+ (C) through several algorithms. </w:t>
      </w:r>
    </w:p>
    <w:p w14:paraId="533B2290" w14:textId="39FDC316" w:rsidR="000C6BE5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</w:p>
    <w:p w14:paraId="5731E30E" w14:textId="77777777" w:rsidR="000C6BE5" w:rsidRDefault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szCs w:val="21"/>
        </w:rPr>
        <w:br w:type="page"/>
      </w:r>
    </w:p>
    <w:p w14:paraId="75758F0C" w14:textId="6AFE966D" w:rsidR="000C6BE5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noProof/>
          <w:szCs w:val="21"/>
        </w:rPr>
        <w:drawing>
          <wp:inline distT="0" distB="0" distL="0" distR="0" wp14:anchorId="69792C4C" wp14:editId="163E3186">
            <wp:extent cx="5275580" cy="7539990"/>
            <wp:effectExtent l="0" t="0" r="1270" b="3810"/>
            <wp:docPr id="104353717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753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B3AA96" w14:textId="77777777" w:rsidR="00315115" w:rsidRPr="00050B3C" w:rsidRDefault="00315115" w:rsidP="00315115">
      <w:pPr>
        <w:spacing w:line="480" w:lineRule="auto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 xml:space="preserve">Figure S6. </w:t>
      </w:r>
      <w:r w:rsidRPr="00050B3C">
        <w:rPr>
          <w:rFonts w:ascii="Times New Roman" w:hAnsi="Times New Roman" w:cs="Times New Roman"/>
          <w:szCs w:val="21"/>
        </w:rPr>
        <w:t xml:space="preserve">Correlation heatmap between GPX4 expression and tumor infiltrating immune cells of DC (A), NK cell (B), T cell CD 4+ (C), Monocyte (D), Mast cell (E), other cell (F) in pan-cancer was displayed. </w:t>
      </w:r>
    </w:p>
    <w:p w14:paraId="59B998B3" w14:textId="4625E3B1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705D2A49" wp14:editId="3A3609E2">
            <wp:extent cx="5268595" cy="7617460"/>
            <wp:effectExtent l="0" t="0" r="8255" b="2540"/>
            <wp:docPr id="201784329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61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A3FAE9" w14:textId="51F097BA" w:rsidR="00315115" w:rsidRPr="00050B3C" w:rsidRDefault="000C6BE5" w:rsidP="000C6BE5">
      <w:pPr>
        <w:widowControl/>
        <w:jc w:val="left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t>F</w:t>
      </w:r>
      <w:r w:rsidR="00315115" w:rsidRPr="00050B3C">
        <w:rPr>
          <w:rFonts w:ascii="Times New Roman" w:hAnsi="Times New Roman" w:cs="Times New Roman"/>
          <w:b/>
          <w:bCs/>
          <w:szCs w:val="21"/>
        </w:rPr>
        <w:t xml:space="preserve">igure S7. </w:t>
      </w:r>
      <w:r w:rsidR="00315115" w:rsidRPr="00050B3C">
        <w:rPr>
          <w:rFonts w:ascii="Times New Roman" w:hAnsi="Times New Roman" w:cs="Times New Roman"/>
          <w:szCs w:val="21"/>
        </w:rPr>
        <w:t>Correlation heatmap between the expression of immune related genes and GPX4 in different cancer types. *Statistically significant.</w:t>
      </w:r>
    </w:p>
    <w:p w14:paraId="25D8C521" w14:textId="2F591784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</w:p>
    <w:p w14:paraId="07E7DEAD" w14:textId="77777777" w:rsidR="000C6BE5" w:rsidRDefault="000C6BE5">
      <w:pPr>
        <w:widowControl/>
        <w:jc w:val="left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szCs w:val="21"/>
        </w:rPr>
        <w:br w:type="page"/>
      </w:r>
    </w:p>
    <w:p w14:paraId="4B419E0C" w14:textId="3B8BA81A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5D3A7D91" wp14:editId="45ED4C0F">
            <wp:extent cx="5268595" cy="7617460"/>
            <wp:effectExtent l="0" t="0" r="8255" b="2540"/>
            <wp:docPr id="17817751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61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DD7BE2" w14:textId="15F9A918" w:rsidR="00315115" w:rsidRPr="00050B3C" w:rsidRDefault="00315115" w:rsidP="00315115">
      <w:pPr>
        <w:spacing w:line="480" w:lineRule="auto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>Figure S8.</w:t>
      </w:r>
      <w:r w:rsidRPr="00050B3C">
        <w:rPr>
          <w:rFonts w:ascii="Times New Roman" w:hAnsi="Times New Roman" w:cs="Times New Roman"/>
          <w:szCs w:val="21"/>
        </w:rPr>
        <w:t xml:space="preserve"> Correlation heatmap between the expression of immune checkpoint genes and GPX4 in different cancer types. *Statistically significant.</w:t>
      </w:r>
    </w:p>
    <w:p w14:paraId="4510726F" w14:textId="77777777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</w:p>
    <w:p w14:paraId="41198CDF" w14:textId="4C84BA12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0748E302" wp14:editId="54FEC2D1">
            <wp:extent cx="5275580" cy="7539990"/>
            <wp:effectExtent l="0" t="0" r="1270" b="3810"/>
            <wp:docPr id="221288862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5580" cy="7539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E672A1" w14:textId="0C3E117E" w:rsidR="00315115" w:rsidRPr="00050B3C" w:rsidRDefault="00315115" w:rsidP="00315115">
      <w:pPr>
        <w:spacing w:line="480" w:lineRule="auto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>Figure S9.</w:t>
      </w:r>
      <w:r w:rsidRPr="00050B3C">
        <w:rPr>
          <w:rFonts w:ascii="Times New Roman" w:hAnsi="Times New Roman" w:cs="Times New Roman"/>
          <w:szCs w:val="21"/>
        </w:rPr>
        <w:t xml:space="preserve"> The relationship between GPX4 expression and tumor mutation burden (TMB) (A) and microsatellite instability (MSI) (B).</w:t>
      </w:r>
    </w:p>
    <w:p w14:paraId="449A7F61" w14:textId="77777777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</w:p>
    <w:p w14:paraId="315E2F1B" w14:textId="3A5DF6D6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0DD32C92" wp14:editId="7C072D33">
            <wp:extent cx="5268595" cy="7617460"/>
            <wp:effectExtent l="0" t="0" r="8255" b="2540"/>
            <wp:docPr id="190103784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8595" cy="761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8691F" w14:textId="0541E253" w:rsidR="00315115" w:rsidRPr="00050B3C" w:rsidRDefault="00315115" w:rsidP="00315115">
      <w:pPr>
        <w:spacing w:line="480" w:lineRule="auto"/>
        <w:rPr>
          <w:rFonts w:ascii="Times New Roman" w:hAnsi="Times New Roman" w:cs="Times New Roman"/>
          <w:szCs w:val="21"/>
        </w:rPr>
      </w:pPr>
      <w:r w:rsidRPr="00050B3C">
        <w:rPr>
          <w:rFonts w:ascii="Times New Roman" w:hAnsi="Times New Roman" w:cs="Times New Roman"/>
          <w:b/>
          <w:bCs/>
          <w:szCs w:val="21"/>
        </w:rPr>
        <w:t>Figure S10.</w:t>
      </w:r>
      <w:r w:rsidRPr="00050B3C">
        <w:rPr>
          <w:rFonts w:ascii="Times New Roman" w:hAnsi="Times New Roman" w:cs="Times New Roman"/>
          <w:szCs w:val="21"/>
        </w:rPr>
        <w:t xml:space="preserve"> The ability of GPX4 to predict response to immunotherapy</w:t>
      </w:r>
    </w:p>
    <w:p w14:paraId="0C37DF7E" w14:textId="77777777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</w:p>
    <w:p w14:paraId="5EAFFB1A" w14:textId="77777777" w:rsidR="000C6BE5" w:rsidRDefault="000C6BE5" w:rsidP="00315115">
      <w:pPr>
        <w:spacing w:line="480" w:lineRule="auto"/>
        <w:rPr>
          <w:rFonts w:ascii="Times New Roman" w:hAnsi="Times New Roman" w:cs="Times New Roman"/>
          <w:b/>
          <w:bCs/>
          <w:szCs w:val="21"/>
        </w:rPr>
      </w:pPr>
    </w:p>
    <w:p w14:paraId="6375B3E9" w14:textId="7654C8B2" w:rsidR="00315115" w:rsidRPr="00050B3C" w:rsidRDefault="000C6BE5" w:rsidP="00315115">
      <w:pPr>
        <w:spacing w:line="480" w:lineRule="auto"/>
        <w:rPr>
          <w:rFonts w:ascii="Times New Roman" w:hAnsi="Times New Roman" w:cs="Times New Roman"/>
          <w:szCs w:val="21"/>
        </w:rPr>
      </w:pPr>
      <w:r>
        <w:rPr>
          <w:rFonts w:ascii="Times New Roman" w:hAnsi="Times New Roman" w:cs="Times New Roman"/>
          <w:b/>
          <w:bCs/>
          <w:noProof/>
          <w:szCs w:val="21"/>
        </w:rPr>
        <w:drawing>
          <wp:inline distT="0" distB="0" distL="0" distR="0" wp14:anchorId="08229D53" wp14:editId="6EFD3D47">
            <wp:extent cx="5275225" cy="4761914"/>
            <wp:effectExtent l="0" t="0" r="1905" b="635"/>
            <wp:docPr id="324206169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6840"/>
                    <a:stretch/>
                  </pic:blipFill>
                  <pic:spPr bwMode="auto">
                    <a:xfrm>
                      <a:off x="0" y="0"/>
                      <a:ext cx="5275580" cy="476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15115" w:rsidRPr="00050B3C">
        <w:rPr>
          <w:rFonts w:ascii="Times New Roman" w:hAnsi="Times New Roman" w:cs="Times New Roman"/>
          <w:b/>
          <w:bCs/>
          <w:szCs w:val="21"/>
        </w:rPr>
        <w:t xml:space="preserve">Figure S11. </w:t>
      </w:r>
      <w:r w:rsidR="00315115" w:rsidRPr="00050B3C">
        <w:rPr>
          <w:rFonts w:ascii="Times New Roman" w:hAnsi="Times New Roman" w:cs="Times New Roman"/>
          <w:szCs w:val="21"/>
        </w:rPr>
        <w:t>Association between GPX4 expression and biotherapy outcome in Gide2019 (A) and Liu2019 (B) clinical studies of immune checkpoint blockade.</w:t>
      </w:r>
    </w:p>
    <w:p w14:paraId="67C39B43" w14:textId="77777777" w:rsidR="00315115" w:rsidRPr="00315115" w:rsidRDefault="00315115"/>
    <w:sectPr w:rsidR="00315115" w:rsidRPr="0031511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A5355C8" w14:textId="77777777" w:rsidR="005A31AB" w:rsidRDefault="005A31AB" w:rsidP="000C6BE5">
      <w:r>
        <w:separator/>
      </w:r>
    </w:p>
  </w:endnote>
  <w:endnote w:type="continuationSeparator" w:id="0">
    <w:p w14:paraId="6BEFDB85" w14:textId="77777777" w:rsidR="005A31AB" w:rsidRDefault="005A31AB" w:rsidP="000C6BE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9E13467" w14:textId="77777777" w:rsidR="005A31AB" w:rsidRDefault="005A31AB" w:rsidP="000C6BE5">
      <w:r>
        <w:separator/>
      </w:r>
    </w:p>
  </w:footnote>
  <w:footnote w:type="continuationSeparator" w:id="0">
    <w:p w14:paraId="046C9C90" w14:textId="77777777" w:rsidR="005A31AB" w:rsidRDefault="005A31AB" w:rsidP="000C6BE5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5115"/>
    <w:rsid w:val="000C6BE5"/>
    <w:rsid w:val="00315115"/>
    <w:rsid w:val="005A31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0DB4AE3"/>
  <w15:chartTrackingRefBased/>
  <w15:docId w15:val="{4AA3FF57-9F4E-460C-9CFC-C4AD5405E6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315115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0C6BE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0C6BE5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0C6BE5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0C6BE5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image" Target="media/image8.tiff"/><Relationship Id="rId1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tiff"/><Relationship Id="rId12" Type="http://schemas.openxmlformats.org/officeDocument/2006/relationships/image" Target="media/image7.tiff"/><Relationship Id="rId17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tiff"/><Relationship Id="rId1" Type="http://schemas.openxmlformats.org/officeDocument/2006/relationships/styles" Target="styles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endnotes" Target="endnotes.xml"/><Relationship Id="rId15" Type="http://schemas.openxmlformats.org/officeDocument/2006/relationships/image" Target="media/image10.tiff"/><Relationship Id="rId10" Type="http://schemas.openxmlformats.org/officeDocument/2006/relationships/image" Target="media/image5.tiff"/><Relationship Id="rId4" Type="http://schemas.openxmlformats.org/officeDocument/2006/relationships/footnotes" Target="footnotes.xml"/><Relationship Id="rId9" Type="http://schemas.openxmlformats.org/officeDocument/2006/relationships/image" Target="media/image4.tiff"/><Relationship Id="rId14" Type="http://schemas.openxmlformats.org/officeDocument/2006/relationships/image" Target="media/image9.tif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11</Pages>
  <Words>231</Words>
  <Characters>1323</Characters>
  <Application>Microsoft Office Word</Application>
  <DocSecurity>0</DocSecurity>
  <Lines>11</Lines>
  <Paragraphs>3</Paragraphs>
  <ScaleCrop>false</ScaleCrop>
  <Company/>
  <LinksUpToDate>false</LinksUpToDate>
  <CharactersWithSpaces>1551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敏 朱</dc:creator>
  <cp:keywords/>
  <dc:description/>
  <cp:lastModifiedBy>敏 朱</cp:lastModifiedBy>
  <cp:revision>2</cp:revision>
  <dcterms:created xsi:type="dcterms:W3CDTF">2023-04-07T13:46:00Z</dcterms:created>
  <dcterms:modified xsi:type="dcterms:W3CDTF">2023-04-07T14:08:00Z</dcterms:modified>
</cp:coreProperties>
</file>